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549" w:rsidRDefault="00510549">
      <w:r>
        <w:t>ВЛИЯНИЕ УЧЕТНОЙ ПОЛИТИКИ ОРГАНИЗАЦИИ НА ФОРМИРОВАНИЕ ФИНАНСОВОЙ ОТЧЕТНОСТИ</w:t>
      </w:r>
    </w:p>
    <w:p w:rsidR="009F79DC" w:rsidRDefault="009F79DC">
      <w:r>
        <w:t>Характерной чертой современного учета является его креативность, творческий характер, проявляющийся в том, что специалисты могут применять различные методы учета, поэтому для понимания финансовой отчетности организации важно значение учетных принципов и правил, на основании которых она сформирована.</w:t>
      </w:r>
    </w:p>
    <w:p w:rsidR="009F79DC" w:rsidRDefault="009F79DC">
      <w:r>
        <w:t>Способы ведения бухгалтерского учета отражаются в учетной политике. Организация самостоятельно выбирает один из нескольких способов, допускаемых законодательством РФ, нормативными актами органов, регулирующих бух учет. Если же по конкретному вопросу не установлены способы ведения бухгалтерского учета, то при формировании учетной политики главный бухгалтер организации самостоятельно разрабатывает способ ведения учета в соответствии с бухгалтерскими стандартами.</w:t>
      </w:r>
    </w:p>
    <w:p w:rsidR="009F79DC" w:rsidRDefault="009F79DC">
      <w:r>
        <w:t xml:space="preserve">Поскольку значения показателей, характеризующих финансовое состояние предприятия и результаты его деятельности, зависят от выбранных способов учета, при анализе необходимо выяснить, какие методы и способы учета применяет организация и </w:t>
      </w:r>
      <w:proofErr w:type="spellStart"/>
      <w:r>
        <w:t>иело</w:t>
      </w:r>
      <w:proofErr w:type="spellEnd"/>
      <w:r>
        <w:t xml:space="preserve"> ли место изменение учетной политики в сравниваемых периодах.</w:t>
      </w:r>
    </w:p>
    <w:p w:rsidR="009F79DC" w:rsidRDefault="009F79DC">
      <w:r>
        <w:t xml:space="preserve">В </w:t>
      </w:r>
      <w:proofErr w:type="spellStart"/>
      <w:r>
        <w:t>ссотв</w:t>
      </w:r>
      <w:proofErr w:type="spellEnd"/>
      <w:r>
        <w:t xml:space="preserve"> с ПБУ 1/08</w:t>
      </w:r>
      <w:r w:rsidR="0051299F" w:rsidRPr="0051299F">
        <w:t xml:space="preserve"> </w:t>
      </w:r>
      <w:r w:rsidR="0051299F">
        <w:t xml:space="preserve">«Учетная политика организации» в составе инфы об учетной политике раскрытию подлежат сведения: </w:t>
      </w:r>
    </w:p>
    <w:p w:rsidR="0051299F" w:rsidRDefault="0051299F">
      <w:r w:rsidRPr="0051299F">
        <w:rPr>
          <w:noProof/>
          <w:lang w:eastAsia="ru-RU"/>
        </w:rPr>
        <w:lastRenderedPageBreak/>
        <w:drawing>
          <wp:inline distT="0" distB="0" distL="0" distR="0">
            <wp:extent cx="5520029" cy="6291618"/>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4">
                      <a:extLst>
                        <a:ext uri="{28A0092B-C50C-407E-A947-70E740481C1C}">
                          <a14:useLocalDpi xmlns:a14="http://schemas.microsoft.com/office/drawing/2010/main" val="0"/>
                        </a:ext>
                      </a:extLst>
                    </a:blip>
                    <a:srcRect t="19958" b="7311"/>
                    <a:stretch/>
                  </pic:blipFill>
                  <pic:spPr bwMode="auto">
                    <a:xfrm>
                      <a:off x="0" y="0"/>
                      <a:ext cx="5524269" cy="6296450"/>
                    </a:xfrm>
                    <a:prstGeom prst="rect">
                      <a:avLst/>
                    </a:prstGeom>
                    <a:noFill/>
                    <a:ln>
                      <a:noFill/>
                    </a:ln>
                    <a:extLst>
                      <a:ext uri="{53640926-AAD7-44D8-BBD7-CCE9431645EC}">
                        <a14:shadowObscured xmlns:a14="http://schemas.microsoft.com/office/drawing/2010/main"/>
                      </a:ext>
                    </a:extLst>
                  </pic:spPr>
                </pic:pic>
              </a:graphicData>
            </a:graphic>
          </wp:inline>
        </w:drawing>
      </w:r>
    </w:p>
    <w:p w:rsidR="00835C2E" w:rsidRDefault="00835C2E">
      <w:r w:rsidRPr="00835C2E">
        <w:rPr>
          <w:noProof/>
          <w:lang w:eastAsia="ru-RU"/>
        </w:rPr>
        <w:lastRenderedPageBreak/>
        <w:drawing>
          <wp:inline distT="0" distB="0" distL="0" distR="0">
            <wp:extent cx="3609975" cy="5657215"/>
            <wp:effectExtent l="0" t="0" r="952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09975" cy="5657215"/>
                    </a:xfrm>
                    <a:prstGeom prst="rect">
                      <a:avLst/>
                    </a:prstGeom>
                    <a:noFill/>
                    <a:ln>
                      <a:noFill/>
                    </a:ln>
                  </pic:spPr>
                </pic:pic>
              </a:graphicData>
            </a:graphic>
          </wp:inline>
        </w:drawing>
      </w:r>
    </w:p>
    <w:p w:rsidR="00835C2E" w:rsidRDefault="00835C2E">
      <w:r w:rsidRPr="00835C2E">
        <w:rPr>
          <w:noProof/>
          <w:lang w:eastAsia="ru-RU"/>
        </w:rPr>
        <w:lastRenderedPageBreak/>
        <w:drawing>
          <wp:inline distT="0" distB="0" distL="0" distR="0">
            <wp:extent cx="3609975" cy="5657215"/>
            <wp:effectExtent l="0" t="0" r="9525"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9975" cy="5657215"/>
                    </a:xfrm>
                    <a:prstGeom prst="rect">
                      <a:avLst/>
                    </a:prstGeom>
                    <a:noFill/>
                    <a:ln>
                      <a:noFill/>
                    </a:ln>
                  </pic:spPr>
                </pic:pic>
              </a:graphicData>
            </a:graphic>
          </wp:inline>
        </w:drawing>
      </w:r>
    </w:p>
    <w:p w:rsidR="00835C2E" w:rsidRDefault="00835C2E">
      <w:r w:rsidRPr="00835C2E">
        <w:rPr>
          <w:noProof/>
          <w:lang w:eastAsia="ru-RU"/>
        </w:rPr>
        <w:drawing>
          <wp:inline distT="0" distB="0" distL="0" distR="0">
            <wp:extent cx="3609975" cy="2811439"/>
            <wp:effectExtent l="0" t="0" r="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7">
                      <a:extLst>
                        <a:ext uri="{28A0092B-C50C-407E-A947-70E740481C1C}">
                          <a14:useLocalDpi xmlns:a14="http://schemas.microsoft.com/office/drawing/2010/main" val="0"/>
                        </a:ext>
                      </a:extLst>
                    </a:blip>
                    <a:srcRect b="50304"/>
                    <a:stretch/>
                  </pic:blipFill>
                  <pic:spPr bwMode="auto">
                    <a:xfrm>
                      <a:off x="0" y="0"/>
                      <a:ext cx="3609975" cy="2811439"/>
                    </a:xfrm>
                    <a:prstGeom prst="rect">
                      <a:avLst/>
                    </a:prstGeom>
                    <a:noFill/>
                    <a:ln>
                      <a:noFill/>
                    </a:ln>
                    <a:extLst>
                      <a:ext uri="{53640926-AAD7-44D8-BBD7-CCE9431645EC}">
                        <a14:shadowObscured xmlns:a14="http://schemas.microsoft.com/office/drawing/2010/main"/>
                      </a:ext>
                    </a:extLst>
                  </pic:spPr>
                </pic:pic>
              </a:graphicData>
            </a:graphic>
          </wp:inline>
        </w:drawing>
      </w:r>
    </w:p>
    <w:p w:rsidR="00687E0B" w:rsidRDefault="00687E0B" w:rsidP="00687E0B">
      <w:pPr>
        <w:ind w:right="-55"/>
        <w:jc w:val="both"/>
        <w:rPr>
          <w:rFonts w:ascii="Tahoma" w:hAnsi="Tahoma" w:cs="Tahoma"/>
          <w:sz w:val="18"/>
          <w:szCs w:val="18"/>
        </w:rPr>
      </w:pPr>
      <w:r w:rsidRPr="005C2A2B">
        <w:rPr>
          <w:rFonts w:ascii="Tahoma" w:hAnsi="Tahoma" w:cs="Tahoma"/>
          <w:b/>
          <w:sz w:val="18"/>
          <w:szCs w:val="18"/>
        </w:rPr>
        <w:t xml:space="preserve">     </w:t>
      </w:r>
      <w:r w:rsidRPr="005C2A2B">
        <w:rPr>
          <w:rFonts w:ascii="Tahoma" w:hAnsi="Tahoma" w:cs="Tahoma"/>
          <w:sz w:val="18"/>
          <w:szCs w:val="18"/>
        </w:rPr>
        <w:t xml:space="preserve">Учетная политика – выбранные организацией способы ведения бух. учета.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В ходе анализ необходимо выяснить, какие способы учета организация применяла в </w:t>
      </w:r>
      <w:proofErr w:type="spellStart"/>
      <w:r w:rsidRPr="005C2A2B">
        <w:rPr>
          <w:rFonts w:ascii="Tahoma" w:hAnsi="Tahoma" w:cs="Tahoma"/>
          <w:sz w:val="18"/>
          <w:szCs w:val="18"/>
        </w:rPr>
        <w:t>отч</w:t>
      </w:r>
      <w:proofErr w:type="spellEnd"/>
      <w:r w:rsidRPr="005C2A2B">
        <w:rPr>
          <w:rFonts w:ascii="Tahoma" w:hAnsi="Tahoma" w:cs="Tahoma"/>
          <w:sz w:val="18"/>
          <w:szCs w:val="18"/>
        </w:rPr>
        <w:t>. периоде, и было ли изменение учетной политики в сравниваемых периодах.</w:t>
      </w:r>
    </w:p>
    <w:p w:rsidR="00687E0B" w:rsidRDefault="00687E0B" w:rsidP="00687E0B">
      <w:pPr>
        <w:ind w:right="-55" w:firstLine="360"/>
        <w:jc w:val="both"/>
        <w:rPr>
          <w:rFonts w:ascii="Tahoma" w:hAnsi="Tahoma" w:cs="Tahoma"/>
          <w:sz w:val="18"/>
          <w:szCs w:val="18"/>
        </w:rPr>
      </w:pPr>
      <w:proofErr w:type="gramStart"/>
      <w:r w:rsidRPr="005C2A2B">
        <w:rPr>
          <w:rFonts w:ascii="Tahoma" w:hAnsi="Tahoma" w:cs="Tahoma"/>
          <w:sz w:val="18"/>
          <w:szCs w:val="18"/>
        </w:rPr>
        <w:lastRenderedPageBreak/>
        <w:t>Основные показатели</w:t>
      </w:r>
      <w:proofErr w:type="gramEnd"/>
      <w:r w:rsidRPr="005C2A2B">
        <w:rPr>
          <w:rFonts w:ascii="Tahoma" w:hAnsi="Tahoma" w:cs="Tahoma"/>
          <w:sz w:val="18"/>
          <w:szCs w:val="18"/>
        </w:rPr>
        <w:t xml:space="preserve"> которые используются для целей анализа в учетной политике: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1. Способ оценки МПЗ при их использовании.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2. Метод начисления амортизации по ОС, НМА.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3. Определение срока полезного использования при принятии к учету ОС и НМА.</w:t>
      </w:r>
    </w:p>
    <w:p w:rsidR="00687E0B" w:rsidRPr="005C2A2B" w:rsidRDefault="00687E0B" w:rsidP="00687E0B">
      <w:pPr>
        <w:ind w:right="-55" w:firstLine="360"/>
        <w:jc w:val="both"/>
        <w:rPr>
          <w:rFonts w:ascii="Tahoma" w:hAnsi="Tahoma" w:cs="Tahoma"/>
          <w:sz w:val="18"/>
          <w:szCs w:val="18"/>
          <w:u w:val="single"/>
        </w:rPr>
      </w:pPr>
      <w:r w:rsidRPr="005C2A2B">
        <w:rPr>
          <w:rFonts w:ascii="Tahoma" w:hAnsi="Tahoma" w:cs="Tahoma"/>
          <w:sz w:val="18"/>
          <w:szCs w:val="18"/>
          <w:u w:val="single"/>
        </w:rPr>
        <w:t xml:space="preserve">Влияние перечисленных методов на </w:t>
      </w:r>
      <w:proofErr w:type="spellStart"/>
      <w:r w:rsidRPr="005C2A2B">
        <w:rPr>
          <w:rFonts w:ascii="Tahoma" w:hAnsi="Tahoma" w:cs="Tahoma"/>
          <w:sz w:val="18"/>
          <w:szCs w:val="18"/>
          <w:u w:val="single"/>
        </w:rPr>
        <w:t>фин</w:t>
      </w:r>
      <w:proofErr w:type="spellEnd"/>
      <w:r w:rsidRPr="005C2A2B">
        <w:rPr>
          <w:rFonts w:ascii="Tahoma" w:hAnsi="Tahoma" w:cs="Tahoma"/>
          <w:sz w:val="18"/>
          <w:szCs w:val="18"/>
          <w:u w:val="single"/>
        </w:rPr>
        <w:t xml:space="preserve"> состояние и </w:t>
      </w:r>
      <w:proofErr w:type="spellStart"/>
      <w:r w:rsidRPr="005C2A2B">
        <w:rPr>
          <w:rFonts w:ascii="Tahoma" w:hAnsi="Tahoma" w:cs="Tahoma"/>
          <w:sz w:val="18"/>
          <w:szCs w:val="18"/>
          <w:u w:val="single"/>
        </w:rPr>
        <w:t>фин</w:t>
      </w:r>
      <w:proofErr w:type="spellEnd"/>
      <w:r w:rsidRPr="005C2A2B">
        <w:rPr>
          <w:rFonts w:ascii="Tahoma" w:hAnsi="Tahoma" w:cs="Tahoma"/>
          <w:sz w:val="18"/>
          <w:szCs w:val="18"/>
          <w:u w:val="single"/>
        </w:rPr>
        <w:t xml:space="preserve"> результат деятельности: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1. Определение срока полезного использования и методы начисления амортизации по ОС и НМА. Оказывает влияние на остаточную стоимость этих объектов и величину будущих расходов.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2. метод оценки МПЗ при их выбытии, влияет на размер производственных запасов и величину себестоимости.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3. Метод оценки незавершенного производства. Влияет на их балансовую величину и фактическую себестоимость выпущенной продукции. </w:t>
      </w:r>
    </w:p>
    <w:p w:rsidR="00687E0B" w:rsidRDefault="00687E0B" w:rsidP="00687E0B">
      <w:pPr>
        <w:ind w:right="-55" w:firstLine="360"/>
        <w:jc w:val="both"/>
        <w:rPr>
          <w:rFonts w:ascii="Tahoma" w:hAnsi="Tahoma" w:cs="Tahoma"/>
          <w:sz w:val="18"/>
          <w:szCs w:val="18"/>
        </w:rPr>
      </w:pPr>
      <w:r w:rsidRPr="005C2A2B">
        <w:rPr>
          <w:rFonts w:ascii="Tahoma" w:hAnsi="Tahoma" w:cs="Tahoma"/>
          <w:sz w:val="18"/>
          <w:szCs w:val="18"/>
        </w:rPr>
        <w:t xml:space="preserve">4. Создание резервов предстоящих расходов, также позволяет сбалансировать себестоимость в течение отчетного периода. </w:t>
      </w:r>
    </w:p>
    <w:p w:rsidR="00687E0B" w:rsidRPr="005C2A2B" w:rsidRDefault="00687E0B" w:rsidP="00687E0B">
      <w:pPr>
        <w:ind w:right="-55" w:firstLine="360"/>
        <w:jc w:val="both"/>
        <w:rPr>
          <w:rFonts w:ascii="Tahoma" w:hAnsi="Tahoma" w:cs="Tahoma"/>
          <w:sz w:val="18"/>
          <w:szCs w:val="18"/>
        </w:rPr>
      </w:pPr>
      <w:r w:rsidRPr="005C2A2B">
        <w:rPr>
          <w:rFonts w:ascii="Tahoma" w:hAnsi="Tahoma" w:cs="Tahoma"/>
          <w:sz w:val="18"/>
          <w:szCs w:val="18"/>
        </w:rPr>
        <w:t>Если организация планирует внести изменение в учетную политику, то должна быть определена причина этих изменений и дана оценка их последствий в стоимостном выражении, это позволит заинтересованным пользователям отчетности сравнить показатели за несколько отчетных периодов и определить тенденции их изменения.</w:t>
      </w:r>
    </w:p>
    <w:p w:rsidR="00687E0B" w:rsidRPr="009238C7" w:rsidRDefault="00687E0B" w:rsidP="00687E0B">
      <w:pPr>
        <w:ind w:right="-55"/>
        <w:jc w:val="both"/>
        <w:rPr>
          <w:rFonts w:ascii="Tahoma" w:hAnsi="Tahoma" w:cs="Tahoma"/>
          <w:color w:val="000000"/>
          <w:spacing w:val="-2"/>
          <w:sz w:val="18"/>
          <w:szCs w:val="18"/>
        </w:rPr>
      </w:pPr>
    </w:p>
    <w:p w:rsidR="00687E0B" w:rsidRPr="0051299F" w:rsidRDefault="00687E0B"/>
    <w:sectPr w:rsidR="00687E0B" w:rsidRPr="005129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810"/>
    <w:rsid w:val="00046F0F"/>
    <w:rsid w:val="00364810"/>
    <w:rsid w:val="004550D1"/>
    <w:rsid w:val="00510549"/>
    <w:rsid w:val="0051299F"/>
    <w:rsid w:val="00687E0B"/>
    <w:rsid w:val="00835C2E"/>
    <w:rsid w:val="008C7292"/>
    <w:rsid w:val="009F79DC"/>
    <w:rsid w:val="00A20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9A2E64-0480-4357-B80F-3F49BC78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5</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Tyurina</dc:creator>
  <cp:keywords/>
  <dc:description/>
  <cp:lastModifiedBy>Karina Tyurina</cp:lastModifiedBy>
  <cp:revision>6</cp:revision>
  <dcterms:created xsi:type="dcterms:W3CDTF">2015-01-08T08:23:00Z</dcterms:created>
  <dcterms:modified xsi:type="dcterms:W3CDTF">2015-01-12T15:23:00Z</dcterms:modified>
</cp:coreProperties>
</file>